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DF" w:rsidRDefault="00531DD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1DDF" w:rsidRDefault="00531DDF">
      <w:pPr>
        <w:pStyle w:val="ConsPlusNormal"/>
        <w:ind w:firstLine="540"/>
        <w:jc w:val="both"/>
        <w:outlineLvl w:val="0"/>
      </w:pPr>
    </w:p>
    <w:p w:rsidR="00531DDF" w:rsidRDefault="00531DDF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531DDF" w:rsidRDefault="00531DDF">
      <w:pPr>
        <w:pStyle w:val="ConsPlusTitle"/>
        <w:jc w:val="center"/>
      </w:pPr>
    </w:p>
    <w:p w:rsidR="00531DDF" w:rsidRDefault="00531DDF">
      <w:pPr>
        <w:pStyle w:val="ConsPlusTitle"/>
        <w:jc w:val="center"/>
      </w:pPr>
      <w:r>
        <w:t>РЕШЕНИЕ</w:t>
      </w:r>
    </w:p>
    <w:p w:rsidR="00531DDF" w:rsidRDefault="00531DDF">
      <w:pPr>
        <w:pStyle w:val="ConsPlusTitle"/>
        <w:jc w:val="center"/>
      </w:pPr>
      <w:r>
        <w:t>от 9 марта 2021 г. N 3/25</w:t>
      </w:r>
    </w:p>
    <w:p w:rsidR="00531DDF" w:rsidRDefault="00531DDF">
      <w:pPr>
        <w:pStyle w:val="ConsPlusTitle"/>
        <w:jc w:val="both"/>
      </w:pPr>
    </w:p>
    <w:p w:rsidR="00531DDF" w:rsidRDefault="00531DDF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31DDF" w:rsidRDefault="00531DDF">
      <w:pPr>
        <w:pStyle w:val="ConsPlusTitle"/>
        <w:jc w:val="center"/>
      </w:pPr>
      <w:r>
        <w:t>МУНИЦИПАЛЬНЫХ СЛУЖАЩИХ НОВОКУЗНЕЦКОГО ГОРОДСКОГО СОВЕТА</w:t>
      </w:r>
    </w:p>
    <w:p w:rsidR="00531DDF" w:rsidRDefault="00531DDF">
      <w:pPr>
        <w:pStyle w:val="ConsPlusTitle"/>
        <w:jc w:val="center"/>
      </w:pPr>
      <w:r>
        <w:t>НАРОДНЫХ ДЕПУТАТОВ И УРЕГУЛИРОВАНИЮ КОНФЛИКТА ИНТЕРЕСОВ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</w:pPr>
      <w:r>
        <w:t>Принято</w:t>
      </w:r>
    </w:p>
    <w:p w:rsidR="00531DDF" w:rsidRDefault="00531DDF">
      <w:pPr>
        <w:pStyle w:val="ConsPlusNormal"/>
        <w:jc w:val="right"/>
      </w:pPr>
      <w:r>
        <w:t>городским Советом народных депутатов</w:t>
      </w:r>
    </w:p>
    <w:p w:rsidR="00531DDF" w:rsidRDefault="00531DDF">
      <w:pPr>
        <w:pStyle w:val="ConsPlusNormal"/>
        <w:jc w:val="right"/>
      </w:pPr>
      <w:r>
        <w:t>24 февраля 2021 года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статьей 14.1</w:t>
        </w:r>
      </w:hyperlink>
      <w:r>
        <w:t xml:space="preserve"> Федерального закона от 02.03.2007 N 25-ФЗ "О муниципальной службе в Российской Федерации", статьей 4-2 Закона Кемеровской области от 30.06.2007 N 103-ОЗ "О некоторых вопросах прохождения муниципальной службы", </w:t>
      </w:r>
      <w:hyperlink r:id="rId7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8">
        <w:r>
          <w:rPr>
            <w:color w:val="0000FF"/>
          </w:rPr>
          <w:t>статьями 28</w:t>
        </w:r>
      </w:hyperlink>
      <w:r>
        <w:t xml:space="preserve">, </w:t>
      </w:r>
      <w:hyperlink r:id="rId9">
        <w:r>
          <w:rPr>
            <w:color w:val="0000FF"/>
          </w:rPr>
          <w:t>32</w:t>
        </w:r>
      </w:hyperlink>
      <w:r>
        <w:t xml:space="preserve"> и </w:t>
      </w:r>
      <w:hyperlink r:id="rId10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1. Создать комиссию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и утвердить ее </w:t>
      </w:r>
      <w:hyperlink w:anchor="P38">
        <w:r>
          <w:rPr>
            <w:color w:val="0000FF"/>
          </w:rPr>
          <w:t>состав</w:t>
        </w:r>
      </w:hyperlink>
      <w:r>
        <w:t xml:space="preserve"> согласно приложению N 1 к настоящему решению.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65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согласно приложению N 2 к настоящему решению.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4. Контроль за исполнением настоящего решения возложить председателя Новокузнецкого городского Совета народных депутатов.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</w:pPr>
      <w:proofErr w:type="spellStart"/>
      <w:r>
        <w:lastRenderedPageBreak/>
        <w:t>И.о</w:t>
      </w:r>
      <w:proofErr w:type="spellEnd"/>
      <w:r>
        <w:t>. председателя</w:t>
      </w:r>
    </w:p>
    <w:p w:rsidR="00531DDF" w:rsidRDefault="00531DDF">
      <w:pPr>
        <w:pStyle w:val="ConsPlusNormal"/>
        <w:jc w:val="right"/>
      </w:pPr>
      <w:r>
        <w:t>Новокузнецкого городского Совета</w:t>
      </w:r>
    </w:p>
    <w:p w:rsidR="00531DDF" w:rsidRDefault="00531DDF">
      <w:pPr>
        <w:pStyle w:val="ConsPlusNormal"/>
        <w:jc w:val="right"/>
      </w:pPr>
      <w:r>
        <w:t>народных депутатов</w:t>
      </w:r>
    </w:p>
    <w:p w:rsidR="00531DDF" w:rsidRDefault="00531DDF">
      <w:pPr>
        <w:pStyle w:val="ConsPlusNormal"/>
        <w:jc w:val="right"/>
      </w:pPr>
      <w:r>
        <w:t>И.В.ПОГРЕБНЯК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</w:pPr>
      <w:r>
        <w:t>Глава</w:t>
      </w:r>
    </w:p>
    <w:p w:rsidR="00531DDF" w:rsidRDefault="00531DDF">
      <w:pPr>
        <w:pStyle w:val="ConsPlusNormal"/>
        <w:jc w:val="right"/>
      </w:pPr>
      <w:r>
        <w:t>города Новокузнецка</w:t>
      </w:r>
    </w:p>
    <w:p w:rsidR="00531DDF" w:rsidRDefault="00531DDF">
      <w:pPr>
        <w:pStyle w:val="ConsPlusNormal"/>
        <w:jc w:val="right"/>
      </w:pPr>
      <w:r>
        <w:t>С.Н.КУЗНЕЦОВ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  <w:outlineLvl w:val="0"/>
      </w:pPr>
      <w:r>
        <w:t>Приложение N 1</w:t>
      </w:r>
    </w:p>
    <w:p w:rsidR="00531DDF" w:rsidRDefault="00531DDF">
      <w:pPr>
        <w:pStyle w:val="ConsPlusNormal"/>
        <w:jc w:val="right"/>
      </w:pPr>
      <w:r>
        <w:t>к решению Новокузнецкого городского</w:t>
      </w:r>
    </w:p>
    <w:p w:rsidR="00531DDF" w:rsidRDefault="00531DDF">
      <w:pPr>
        <w:pStyle w:val="ConsPlusNormal"/>
        <w:jc w:val="right"/>
      </w:pPr>
      <w:r>
        <w:t>Совета народных депутатов</w:t>
      </w:r>
    </w:p>
    <w:p w:rsidR="00531DDF" w:rsidRDefault="00531DDF">
      <w:pPr>
        <w:pStyle w:val="ConsPlusNormal"/>
        <w:jc w:val="right"/>
      </w:pPr>
      <w:r>
        <w:t>от 09.03.2021 N 3/25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Title"/>
        <w:jc w:val="center"/>
      </w:pPr>
      <w:bookmarkStart w:id="0" w:name="P38"/>
      <w:bookmarkEnd w:id="0"/>
      <w:r>
        <w:t>СОСТАВ</w:t>
      </w:r>
    </w:p>
    <w:p w:rsidR="00531DDF" w:rsidRDefault="00531DDF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31DDF" w:rsidRDefault="00531DDF">
      <w:pPr>
        <w:pStyle w:val="ConsPlusTitle"/>
        <w:jc w:val="center"/>
      </w:pPr>
      <w:r>
        <w:t>МУНИЦИПАЛЬНЫХ СЛУЖАЩИХ НОВОКУЗНЕЦКОГО ГОРОДСКОГО СОВЕТА</w:t>
      </w:r>
    </w:p>
    <w:p w:rsidR="00531DDF" w:rsidRDefault="00531DDF">
      <w:pPr>
        <w:pStyle w:val="ConsPlusTitle"/>
        <w:jc w:val="center"/>
      </w:pPr>
      <w:r>
        <w:t>НАРОДНЫХ ДЕПУТАТОВ И УРЕГУЛИРОВАНИЮ КОНФЛИКТА ИНТЕРЕСОВ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  <w:r>
        <w:t>1. Заместитель председателя Новокузнецкого городского Совета народных депутатов, председатель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2. Депутат Новокузнецкого городского Совета народных депутатов - председатель комитета Новокузнецкого городского Совета народных депутатов по вопросам местного самоуправления и правопорядка, заместитель председателя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3. Муниципальный служащий Новокузнецкого городского Совета народных депутатов, ответственный за работу по профилактике коррупционных и иных правонарушений, секретарь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4. Муниципальный служащий Новокузнецкого городского Совета народных депутатов, осуществляющий правовое сопровождение деятельности Новокузнецкого городского Совета народных депутатов.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5. Представитель Общественной палаты Кемеровской области (по согласованию).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lastRenderedPageBreak/>
        <w:t>6. Представитель кафедры муниципального управления Новокузнецкого института (филиала) федерального государственного бюджетного образовательного учреждения высшего профессионального образования "Кемеровский государственный университет" (по согласованию).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7. Представитель Общественного совета при МВД России по городу Новокузнецку (по согласованию).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531DDF" w:rsidRDefault="00531DDF">
      <w:pPr>
        <w:pStyle w:val="ConsPlusNormal"/>
        <w:jc w:val="right"/>
      </w:pPr>
      <w:r>
        <w:t>Новокузнецкого городского Совета</w:t>
      </w:r>
    </w:p>
    <w:p w:rsidR="00531DDF" w:rsidRDefault="00531DDF">
      <w:pPr>
        <w:pStyle w:val="ConsPlusNormal"/>
        <w:jc w:val="right"/>
      </w:pPr>
      <w:r>
        <w:t>народных депутатов</w:t>
      </w:r>
    </w:p>
    <w:p w:rsidR="00531DDF" w:rsidRDefault="00531DDF">
      <w:pPr>
        <w:pStyle w:val="ConsPlusNormal"/>
        <w:jc w:val="right"/>
      </w:pPr>
      <w:r>
        <w:t>И.В.ПОГРЕБНЯК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  <w:outlineLvl w:val="0"/>
      </w:pPr>
      <w:r>
        <w:t>Приложение N 2</w:t>
      </w:r>
    </w:p>
    <w:p w:rsidR="00531DDF" w:rsidRDefault="00531DDF">
      <w:pPr>
        <w:pStyle w:val="ConsPlusNormal"/>
        <w:jc w:val="right"/>
      </w:pPr>
      <w:r>
        <w:t>к решению Новокузнецкого городского</w:t>
      </w:r>
    </w:p>
    <w:p w:rsidR="00531DDF" w:rsidRDefault="00531DDF">
      <w:pPr>
        <w:pStyle w:val="ConsPlusNormal"/>
        <w:jc w:val="right"/>
      </w:pPr>
      <w:r>
        <w:t>Совета народных депутатов</w:t>
      </w:r>
    </w:p>
    <w:p w:rsidR="00531DDF" w:rsidRDefault="00531DDF">
      <w:pPr>
        <w:pStyle w:val="ConsPlusNormal"/>
        <w:jc w:val="right"/>
      </w:pPr>
      <w:r>
        <w:t>от 09.03.2021 N 3/25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Title"/>
        <w:jc w:val="center"/>
      </w:pPr>
      <w:bookmarkStart w:id="1" w:name="P65"/>
      <w:bookmarkEnd w:id="1"/>
      <w:r>
        <w:t>ПОЛОЖЕНИЕ</w:t>
      </w:r>
    </w:p>
    <w:p w:rsidR="00531DDF" w:rsidRDefault="00531DDF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31DDF" w:rsidRDefault="00531DDF">
      <w:pPr>
        <w:pStyle w:val="ConsPlusTitle"/>
        <w:jc w:val="center"/>
      </w:pPr>
      <w:r>
        <w:t>МУНИЦИПАЛЬНЫХ СЛУЖАЩИХ НОВОКУЗНЕЦКОГО ГОРОДСКОГО СОВЕТА</w:t>
      </w:r>
    </w:p>
    <w:p w:rsidR="00531DDF" w:rsidRDefault="00531DDF">
      <w:pPr>
        <w:pStyle w:val="ConsPlusTitle"/>
        <w:jc w:val="center"/>
      </w:pPr>
      <w:r>
        <w:t>НАРОДНЫХ ДЕПУТАТОВ И УРЕГУЛИРОВАНИЮ КОНФЛИКТА ИНТЕРЕСОВ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в Новокузнецком городском Совете народных депутатов (далее - комиссия).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Кемеровской области, муниципальными правовыми актами Новокузнецкого городского округа, настоящим Положением.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3. Основной задачей комиссии является содействие Новокузнецкому городскому Совету народных депутатов (далее - городской Совет):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lastRenderedPageBreak/>
        <w:t xml:space="preserve">а) в обеспечении соблюдения муниципальными служащими, замещающими должности в городском Совете (далее - муниципальные служащие),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законами, законами и иными нормативными правовыми актами Кемеровской области - Кузбасса, муниципальными правовыми актами Новокузнецкого городского округа (далее - требования к служебному поведению и (или) требования об урегулировании конфликта интересов);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в осуществлении в городском Совете мер по предупреждению коррупции.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городском Совете (далее - должности муниципальной службы).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5. Комиссия образуется нормативным правовым актом городского Совета. Указанным актом утверждаются состав комиссии и порядок ее работы.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6. В состав комиссии входят: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заместитель председателя городского Совета (председатель комиссии), депутат городского Совета - председатель комитета городского Совета по вопросам местного самоуправления и правопорядка (заместитель председателя комиссии), сотрудник городского Совета, ответственный за работу по профилактике коррупционных и иных правонарушений (секретарь комиссии), сотрудник городского Совета, осуществляющий правовое сопровождение деятельности городского Совета;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2" w:name="P80"/>
      <w:bookmarkEnd w:id="2"/>
      <w:r>
        <w:t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образовательных организаций дополнительного профессионального образования, деятельность которых связана с муниципальной службой.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3" w:name="P81"/>
      <w:bookmarkEnd w:id="3"/>
      <w:r>
        <w:t xml:space="preserve">7. Председатель комиссии может принять решение о включении в состав </w:t>
      </w:r>
      <w:r>
        <w:lastRenderedPageBreak/>
        <w:t>комиссии представителей общественных организаций, общественных палат, советов, создаваемых при органах государственной власти и органах местного самоуправления.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8. Лица, указанные в </w:t>
      </w:r>
      <w:hyperlink w:anchor="P80">
        <w:r>
          <w:rPr>
            <w:color w:val="0000FF"/>
          </w:rPr>
          <w:t>подпункте "б" пункта 6</w:t>
        </w:r>
      </w:hyperlink>
      <w:r>
        <w:t xml:space="preserve">, </w:t>
      </w:r>
      <w:hyperlink w:anchor="P8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организацией, общественных палат, советов, создаваемых при органах государственной власти и органах местного самоуправления, на основании запроса председателя городского Совета. Согласование осуществляется в 10-дневный срок со дня получения запроса.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9. Число членов комиссии, не замещающих должности муниципальной службы в городском Совете, должно составлять не менее одной четверти от общего числа членов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председатель городского Совета, как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городском Совете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4" w:name="P87"/>
      <w:bookmarkEnd w:id="4"/>
      <w:r>
        <w:t>б) другие муниципальные служащие, замещающие должности муниципальной службы в городском Совете;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lastRenderedPageBreak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5" w:name="P90"/>
      <w:bookmarkEnd w:id="5"/>
      <w:r>
        <w:t>14. Основаниями для проведения заседания комиссии являются: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6" w:name="P91"/>
      <w:bookmarkEnd w:id="6"/>
      <w:r>
        <w:t>а) представление председателем городского Совета материалов проверки, порядок проведения которой определяется действующим законодательством (далее - проверка), свидетельствующих: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7" w:name="P92"/>
      <w:bookmarkEnd w:id="7"/>
      <w:r>
        <w:t>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8" w:name="P93"/>
      <w:bookmarkEnd w:id="8"/>
      <w: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9" w:name="P94"/>
      <w:bookmarkEnd w:id="9"/>
      <w:r>
        <w:t>б) поступившее сотруднику городского Совета, ответственному за работу по профилактике коррупционных и иных правонарушений (далее - кадровая служба):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0" w:name="P95"/>
      <w:bookmarkEnd w:id="10"/>
      <w:r>
        <w:t xml:space="preserve">письменное обращение гражданина, замещавшего в городском Совете должность муниципальной службы, включенную в Перечень должностей муниципальной службы, на которые распространяются ограничения, установленные </w:t>
      </w:r>
      <w:hyperlink r:id="rId13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о даче согласия на замещение на условиях трудового договора должности в организации и (или) на выполнение работы в данной организации работы (оказание данной организации услуг) на условиях гражданско-правового договора (гражданско-правовых договоров), случаях, предусмотренных федеральными законами, если отдельные функции по управлению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1" w:name="P96"/>
      <w:bookmarkEnd w:id="11"/>
      <w:r>
        <w:t xml:space="preserve">заявление муниципального служащего о невозможности по объективным </w:t>
      </w:r>
      <w:r>
        <w:lastRenderedPageBreak/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2" w:name="P97"/>
      <w:bookmarkEnd w:id="12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3" w:name="P98"/>
      <w:bookmarkEnd w:id="13"/>
      <w:r>
        <w:t>в) представление председателя городского 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в том числе уведомления представителя нанимателя о факте обращения к муниципальному служащему в целях склонения его к совершению коррупционных правонарушений, либо осуществления в городском Совете мер по предупреждению коррупции;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4" w:name="P99"/>
      <w:bookmarkEnd w:id="14"/>
      <w:r>
        <w:t>г) представление председателем городского Совета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детей;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5" w:name="P100"/>
      <w:bookmarkEnd w:id="15"/>
      <w:r>
        <w:t xml:space="preserve">д) поступившее в соответствии с </w:t>
      </w:r>
      <w:hyperlink r:id="rId14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1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городской Совет уведомление организации о заключении с гражданином, замещавшим должность муниципальной службы в городском Совете,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городском Совете,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6" w:name="P102"/>
      <w:bookmarkEnd w:id="16"/>
      <w:r>
        <w:t xml:space="preserve">16. Письменное обращение, указанное в </w:t>
      </w:r>
      <w:hyperlink w:anchor="P9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городском Совете, в кадровую службу городского Совета. В обращении указываются: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</w:t>
      </w:r>
      <w:r>
        <w:lastRenderedPageBreak/>
        <w:t xml:space="preserve">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Указанное в настоящем пункте письменное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17. Заявления и уведомления, указанные в </w:t>
      </w:r>
      <w:hyperlink w:anchor="P9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7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направляются муниципальным служащим, замещающим должность муниципальной службы в городском Совете, в кадровую службу городского Совета.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7" w:name="P105"/>
      <w:bookmarkEnd w:id="17"/>
      <w:r>
        <w:t xml:space="preserve">18. Уведомление, указанное в </w:t>
      </w:r>
      <w:hyperlink w:anchor="P100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городском Совете, требований </w:t>
      </w:r>
      <w:hyperlink r:id="rId17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8" w:name="P106"/>
      <w:bookmarkEnd w:id="18"/>
      <w:r>
        <w:t xml:space="preserve">19. Уведомление, указанное в </w:t>
      </w:r>
      <w:hyperlink w:anchor="P97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20. При подготовке мотивированного заключения по результатам рассмотрения письменного обращения, указанного в </w:t>
      </w:r>
      <w:hyperlink w:anchor="P9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97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00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кадровая служба имеет право проводить собеседование с муниципальным служащим, представившим письменное обращение или уведомление, получать от него письменные пояснения, а председатель городского Совета может направлять в установленном порядке запросы в государственные органы, другие органы местного самоуправления и заинтересованные организации. Письменное обращение или уведомление, а также мотивированное заключение и другие материалы в течение 7 (семи) рабочих дней со дня поступления письменного обращения или уведомления </w:t>
      </w:r>
      <w:r>
        <w:lastRenderedPageBreak/>
        <w:t>представляются председателю комиссии. В случае направления запросов письменное обращение или уведомление, а также мотивированно заключение и другие материалы представляются председателю комиссии в течение 45 дней со дня поступления письменного обращения или уведомления. Указанный срок может быть продлен, но не более чем на 30 дней.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21. Мотивированные заключения, предусмотренные </w:t>
      </w:r>
      <w:hyperlink w:anchor="P102">
        <w:r>
          <w:rPr>
            <w:color w:val="0000FF"/>
          </w:rPr>
          <w:t>пунктами 16</w:t>
        </w:r>
      </w:hyperlink>
      <w:r>
        <w:t xml:space="preserve">, </w:t>
      </w:r>
      <w:hyperlink w:anchor="P105">
        <w:r>
          <w:rPr>
            <w:color w:val="0000FF"/>
          </w:rPr>
          <w:t>18</w:t>
        </w:r>
      </w:hyperlink>
      <w:r>
        <w:t xml:space="preserve">, </w:t>
      </w:r>
      <w:hyperlink w:anchor="P106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а) информацию, изложенную в письменных обращениях или уведомлениях, указанных в </w:t>
      </w:r>
      <w:hyperlink w:anchor="P95">
        <w:r>
          <w:rPr>
            <w:color w:val="0000FF"/>
          </w:rPr>
          <w:t>абзацах втором</w:t>
        </w:r>
      </w:hyperlink>
      <w:r>
        <w:t xml:space="preserve"> и </w:t>
      </w:r>
      <w:hyperlink w:anchor="P97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100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информацию, полученную от государственных органов, других органов местного самоуправления и заинтересованных организаций на основании запросов;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в) мотивированный вывод по результатам предварительного рассмотрения письменных обращений и уведомлений, указанных в </w:t>
      </w:r>
      <w:hyperlink w:anchor="P95">
        <w:r>
          <w:rPr>
            <w:color w:val="0000FF"/>
          </w:rPr>
          <w:t>абзацах втором</w:t>
        </w:r>
      </w:hyperlink>
      <w:r>
        <w:t xml:space="preserve"> и </w:t>
      </w:r>
      <w:hyperlink w:anchor="P97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100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1">
        <w:r>
          <w:rPr>
            <w:color w:val="0000FF"/>
          </w:rPr>
          <w:t>32</w:t>
        </w:r>
      </w:hyperlink>
      <w:r>
        <w:t xml:space="preserve">, </w:t>
      </w:r>
      <w:hyperlink w:anchor="P145">
        <w:r>
          <w:rPr>
            <w:color w:val="0000FF"/>
          </w:rPr>
          <w:t>36</w:t>
        </w:r>
      </w:hyperlink>
      <w:r>
        <w:t xml:space="preserve"> настоящего Положения или иного решения.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22. Мотивированные заключения, предусмотренные </w:t>
      </w:r>
      <w:hyperlink w:anchor="P102">
        <w:r>
          <w:rPr>
            <w:color w:val="0000FF"/>
          </w:rPr>
          <w:t>пунктами 16</w:t>
        </w:r>
      </w:hyperlink>
      <w:r>
        <w:t xml:space="preserve">, </w:t>
      </w:r>
      <w:hyperlink w:anchor="P105">
        <w:r>
          <w:rPr>
            <w:color w:val="0000FF"/>
          </w:rPr>
          <w:t>18</w:t>
        </w:r>
      </w:hyperlink>
      <w:r>
        <w:t xml:space="preserve">, </w:t>
      </w:r>
      <w:hyperlink w:anchor="P106">
        <w:r>
          <w:rPr>
            <w:color w:val="0000FF"/>
          </w:rPr>
          <w:t>19</w:t>
        </w:r>
      </w:hyperlink>
      <w:r>
        <w:t xml:space="preserve"> настоящего Положения, подготавливаются кадровой службой.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7">
        <w:r>
          <w:rPr>
            <w:color w:val="0000FF"/>
          </w:rPr>
          <w:t>24</w:t>
        </w:r>
      </w:hyperlink>
      <w:r>
        <w:t xml:space="preserve"> и </w:t>
      </w:r>
      <w:hyperlink w:anchor="P118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кадровую службу информацией и с результатами ее проверки;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7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19" w:name="P117"/>
      <w:bookmarkEnd w:id="19"/>
      <w:r>
        <w:lastRenderedPageBreak/>
        <w:t xml:space="preserve">24. Заседание комиссии по рассмотрению заявления, указанного в </w:t>
      </w:r>
      <w:hyperlink w:anchor="P96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20" w:name="P118"/>
      <w:bookmarkEnd w:id="20"/>
      <w:r>
        <w:t xml:space="preserve">25. Уведомление, указанное в </w:t>
      </w:r>
      <w:hyperlink w:anchor="P100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городском Совете. О намерении лично присутствовать на заседании комиссии муниципальный служащий или гражданин указывает в письменном обращении, заявлении или уведомлении, представляемых в соответствии с </w:t>
      </w:r>
      <w:hyperlink w:anchor="P94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27. Заседания комиссии могут проводиться в отсутствие муниципального служащего или гражданина в случаях: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а) если в письменном обращении, заявлении или уведомлении, предусмотренных </w:t>
      </w:r>
      <w:hyperlink w:anchor="P94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28. На заседании комиссии заслушиваются пояснения муниципального служащего или гражданина, замещавшего должность муниципальной службы в городском Совете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21" w:name="P125"/>
      <w:bookmarkEnd w:id="21"/>
      <w:r>
        <w:t xml:space="preserve">30. По итогам рассмотрения вопроса, указанного в </w:t>
      </w:r>
      <w:hyperlink w:anchor="P92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lastRenderedPageBreak/>
        <w:t>а) установить, что сведения, представленные муниципальным служащим, являются достоверными и полными;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председателю городского Совета применить к муниципальному служащему конкретную меру ответственности.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31. По итогам рассмотрения вопроса, указанного в </w:t>
      </w:r>
      <w:hyperlink w:anchor="P93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председателю городского 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22" w:name="P131"/>
      <w:bookmarkEnd w:id="22"/>
      <w:r>
        <w:t xml:space="preserve">32. По итогам рассмотрения вопроса, указанного в </w:t>
      </w:r>
      <w:hyperlink w:anchor="P9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дать гражданину согласие на замещение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отказать гражданину в замещении должности в организации либо в выполнении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33. По итогам рассмотрения вопроса, указанного в </w:t>
      </w:r>
      <w:hyperlink w:anchor="P96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городского Совета применить к муниципальному служащему конкретную меру ответственности.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34. По итогам рассмотрения вопроса, указанного в </w:t>
      </w:r>
      <w:hyperlink w:anchor="P97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городского Совета принять меры по урегулированию конфликта интересов или по недопущению его возникновения;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городского Совета применить к муниципальному служащему конкретную меру ответственности.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35. По итогам рассмотрения вопроса, указанного в </w:t>
      </w:r>
      <w:hyperlink w:anchor="P99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признать, что сведения о расходах, представленные муниципальным служащим, являются достоверными и полными;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признать, что сведения о расходах, представленные муниципальным служащим, являются недостоверными и (или) неполными. В этом случае комиссия рекомендует председателю городского Совета применить к муниципальному служащему конкретную меру ответственности и (или) направить имеющиеся материалы в органы прокуратуры и (или) иные государственные органы в соответствии с их компетенцией.</w:t>
      </w:r>
    </w:p>
    <w:p w:rsidR="00531DDF" w:rsidRDefault="00531DDF">
      <w:pPr>
        <w:pStyle w:val="ConsPlusNormal"/>
        <w:spacing w:before="280"/>
        <w:ind w:firstLine="540"/>
        <w:jc w:val="both"/>
      </w:pPr>
      <w:bookmarkStart w:id="23" w:name="P145"/>
      <w:bookmarkEnd w:id="23"/>
      <w:r>
        <w:t xml:space="preserve">36. По итогам рассмотрения вопроса, указанного в </w:t>
      </w:r>
      <w:hyperlink w:anchor="P100">
        <w:r>
          <w:rPr>
            <w:color w:val="0000FF"/>
          </w:rPr>
          <w:t xml:space="preserve">подпункте "д" пункта </w:t>
        </w:r>
        <w:r>
          <w:rPr>
            <w:color w:val="0000FF"/>
          </w:rPr>
          <w:lastRenderedPageBreak/>
          <w:t>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1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председателю городского Совета проинформировать об указанных обстоятельствах органы прокуратуры и уведомившую организацию.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37. По итогам рассмотрения вопросов, указанных в </w:t>
      </w:r>
      <w:hyperlink w:anchor="P91">
        <w:r>
          <w:rPr>
            <w:color w:val="0000FF"/>
          </w:rPr>
          <w:t>подпунктах "а"</w:t>
        </w:r>
      </w:hyperlink>
      <w:r>
        <w:t xml:space="preserve">, </w:t>
      </w:r>
      <w:hyperlink w:anchor="P94">
        <w:r>
          <w:rPr>
            <w:color w:val="0000FF"/>
          </w:rPr>
          <w:t>"б"</w:t>
        </w:r>
      </w:hyperlink>
      <w:r>
        <w:t xml:space="preserve">, </w:t>
      </w:r>
      <w:hyperlink w:anchor="P99">
        <w:r>
          <w:rPr>
            <w:color w:val="0000FF"/>
          </w:rPr>
          <w:t>"г"</w:t>
        </w:r>
      </w:hyperlink>
      <w:r>
        <w:t xml:space="preserve"> и </w:t>
      </w:r>
      <w:hyperlink w:anchor="P100">
        <w:r>
          <w:rPr>
            <w:color w:val="0000FF"/>
          </w:rPr>
          <w:t>"д"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5">
        <w:r>
          <w:rPr>
            <w:color w:val="0000FF"/>
          </w:rPr>
          <w:t>пунктами 30</w:t>
        </w:r>
      </w:hyperlink>
      <w:r>
        <w:t xml:space="preserve"> - </w:t>
      </w:r>
      <w:hyperlink w:anchor="P145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38. По итогам рассмотрения вопроса, предусмотренного </w:t>
      </w:r>
      <w:hyperlink w:anchor="P98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39. Для исполнения решений комиссии могут быть подготовлены проекты нормативных правовых актов городского Совета, решений и поручений председателя городского Совета, которые в установленном порядке представляются на рассмотрение председателя городского Совета.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40. Решения комиссии по вопросам, указанным в </w:t>
      </w:r>
      <w:hyperlink w:anchor="P90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председателя городского Совета носят рекомендательный характер. Решение, принимаемое по итогам рассмотрения вопроса, указанного в </w:t>
      </w:r>
      <w:hyperlink w:anchor="P9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42. В протоколе заседания комиссии указываются: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ж) другие сведения;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з) результаты голосования;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и) решение и обоснование его принятия.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44. Копии протокола заседания комиссии в 7 (семи)-</w:t>
      </w:r>
      <w:proofErr w:type="spellStart"/>
      <w:r>
        <w:t>дневный</w:t>
      </w:r>
      <w:proofErr w:type="spellEnd"/>
      <w:r>
        <w:t xml:space="preserve"> срок со дня заседания направляются председателю городского 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45. Председатель городского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городского Совета в письменной форме уведомляет комиссию в месячный срок со дня поступления к нему протокола заседания комиссии. Решение председателя </w:t>
      </w:r>
      <w:r>
        <w:lastRenderedPageBreak/>
        <w:t>городского Совета оглашается на ближайшем заседании комиссии и принимается к сведению без обсуждения.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городского 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47.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 xml:space="preserve">49. Выписка из решения комиссии или копия протокола, заверенная подписью секретаря комиссии и печатью городского Совета, вручается гражданину, замещавшему должность муниципальной службы в городском Совете, в отношении которого рассматривался вопрос, указанный в </w:t>
      </w:r>
      <w:hyperlink w:anchor="P9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31DDF" w:rsidRDefault="00531DDF">
      <w:pPr>
        <w:pStyle w:val="ConsPlusNormal"/>
        <w:spacing w:before="280"/>
        <w:ind w:firstLine="540"/>
        <w:jc w:val="both"/>
      </w:pPr>
      <w: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осуществляются кадровой службой.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531DDF" w:rsidRDefault="00531DDF">
      <w:pPr>
        <w:pStyle w:val="ConsPlusNormal"/>
        <w:jc w:val="right"/>
      </w:pPr>
      <w:r>
        <w:t>Новокузнецкого городского Совета</w:t>
      </w:r>
    </w:p>
    <w:p w:rsidR="00531DDF" w:rsidRDefault="00531DDF">
      <w:pPr>
        <w:pStyle w:val="ConsPlusNormal"/>
        <w:jc w:val="right"/>
      </w:pPr>
      <w:r>
        <w:t>народных депутатов</w:t>
      </w:r>
    </w:p>
    <w:p w:rsidR="00531DDF" w:rsidRDefault="00531DDF">
      <w:pPr>
        <w:pStyle w:val="ConsPlusNormal"/>
        <w:jc w:val="right"/>
      </w:pPr>
      <w:r>
        <w:t>И.В.ПОГРЕБНЯК</w:t>
      </w: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ind w:firstLine="540"/>
        <w:jc w:val="both"/>
      </w:pPr>
    </w:p>
    <w:p w:rsidR="00531DDF" w:rsidRDefault="00531D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24" w:name="_GoBack"/>
      <w:bookmarkEnd w:id="24"/>
    </w:p>
    <w:sectPr w:rsidR="00754EE6" w:rsidSect="005A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F"/>
    <w:rsid w:val="004B281B"/>
    <w:rsid w:val="00531DDF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3F880-0BB7-4331-94F5-AADF7C1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D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31D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31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53801&amp;dst=100323" TargetMode="External"/><Relationship Id="rId13" Type="http://schemas.openxmlformats.org/officeDocument/2006/relationships/hyperlink" Target="https://login.consultant.ru/link/?req=doc&amp;base=LAW&amp;n=358829&amp;dst=28" TargetMode="External"/><Relationship Id="rId18" Type="http://schemas.openxmlformats.org/officeDocument/2006/relationships/hyperlink" Target="https://login.consultant.ru/link/?req=doc&amp;base=LAW&amp;n=358829&amp;dst=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78281&amp;dst=100045" TargetMode="External"/><Relationship Id="rId12" Type="http://schemas.openxmlformats.org/officeDocument/2006/relationships/hyperlink" Target="https://login.consultant.ru/link/?req=doc&amp;base=LAW&amp;n=358829" TargetMode="External"/><Relationship Id="rId17" Type="http://schemas.openxmlformats.org/officeDocument/2006/relationships/hyperlink" Target="https://login.consultant.ru/link/?req=doc&amp;base=LAW&amp;n=358829&amp;dst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829&amp;dst=2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6152&amp;dst=100289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358829" TargetMode="External"/><Relationship Id="rId15" Type="http://schemas.openxmlformats.org/officeDocument/2006/relationships/hyperlink" Target="https://login.consultant.ru/link/?req=doc&amp;base=LAW&amp;n=370225&amp;dst=1713" TargetMode="External"/><Relationship Id="rId10" Type="http://schemas.openxmlformats.org/officeDocument/2006/relationships/hyperlink" Target="https://login.consultant.ru/link/?req=doc&amp;base=RLAW117&amp;n=53801&amp;dst=10039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3801&amp;dst=100385" TargetMode="External"/><Relationship Id="rId14" Type="http://schemas.openxmlformats.org/officeDocument/2006/relationships/hyperlink" Target="https://login.consultant.ru/link/?req=doc&amp;base=LAW&amp;n=358829&amp;ds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5085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2023-07-20T06:34:00Z</dcterms:created>
  <dcterms:modified xsi:type="dcterms:W3CDTF">2023-07-20T06:34:00Z</dcterms:modified>
</cp:coreProperties>
</file>