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71"/>
        <w:tblLayout w:type="fixed"/>
        <w:tblCellMar>
          <w:left w:type="dxa" w:w="71"/>
          <w:right w:type="dxa" w:w="71"/>
        </w:tblCellMar>
      </w:tblPr>
      <w:tblGrid>
        <w:gridCol w:w="9923"/>
      </w:tblGrid>
      <w:tr>
        <w:tc>
          <w:tcPr>
            <w:tcW w:type="dxa" w:w="9923"/>
            <w:shd w:fill="auto" w:val="clear"/>
            <w:tcMar>
              <w:left w:type="dxa" w:w="71"/>
              <w:right w:type="dxa" w:w="71"/>
            </w:tcMar>
          </w:tcPr>
          <w:p w14:paraId="03000000">
            <w:pPr>
              <w:ind/>
              <w:jc w:val="center"/>
              <w:rPr>
                <w:rFonts w:ascii="SchoolBook" w:hAnsi="SchoolBook"/>
                <w:sz w:val="22"/>
              </w:rPr>
            </w:pPr>
            <w:r>
              <w:rPr>
                <w:rFonts w:ascii="Bodoni" w:hAnsi="Bodoni"/>
                <w:sz w:val="22"/>
              </w:rPr>
              <w:drawing>
                <wp:inline>
                  <wp:extent cx="527685" cy="75628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-95" l="-139" r="-139" t="-95"/>
                          <a:stretch/>
                        </pic:blipFill>
                        <pic:spPr>
                          <a:xfrm flipH="false" flipV="false" rot="0">
                            <a:ext cx="527685" cy="7562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00000">
      <w:pPr>
        <w:ind/>
        <w:jc w:val="center"/>
        <w:rPr>
          <w:rFonts w:ascii="SchoolBook" w:hAnsi="SchoolBook"/>
          <w:sz w:val="22"/>
        </w:rPr>
      </w:pPr>
    </w:p>
    <w:p w14:paraId="05000000">
      <w:pPr>
        <w:ind/>
        <w:jc w:val="center"/>
        <w:rPr>
          <w:b w:val="1"/>
        </w:rPr>
      </w:pPr>
      <w:r>
        <w:rPr>
          <w:b w:val="1"/>
          <w:sz w:val="22"/>
        </w:rPr>
        <w:t xml:space="preserve">НОВОКУЗНЕЦКИЙ ГОРОДСКОЙ СОВЕТ НАРОДНЫХ ДЕПУТАТОВ </w:t>
      </w:r>
    </w:p>
    <w:p w14:paraId="06000000">
      <w:pPr>
        <w:ind/>
        <w:jc w:val="center"/>
        <w:rPr>
          <w:b w:val="1"/>
          <w:sz w:val="22"/>
        </w:rPr>
      </w:pPr>
    </w:p>
    <w:p w14:paraId="07000000">
      <w:pPr>
        <w:ind/>
        <w:jc w:val="center"/>
        <w:rPr>
          <w:b w:val="1"/>
        </w:rPr>
      </w:pPr>
      <w:r>
        <w:rPr>
          <w:b w:val="1"/>
          <w:sz w:val="22"/>
        </w:rPr>
        <w:t>РЕШЕНИЕ</w:t>
      </w:r>
    </w:p>
    <w:p w14:paraId="08000000">
      <w:pPr>
        <w:rPr>
          <w:b w:val="1"/>
          <w:sz w:val="22"/>
        </w:rPr>
      </w:pPr>
      <w:r>
        <w:rPr>
          <w:rFonts w:ascii="Times New Roman" w:hAnsi="Times New Roman"/>
          <w:sz w:val="3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-24128</wp:posOffset>
                </wp:positionH>
                <wp:positionV relativeFrom="page">
                  <wp:posOffset>2159960</wp:posOffset>
                </wp:positionV>
                <wp:extent cx="5940417" cy="923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17" cy="923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9000000">
                            <w:pPr>
                              <w:pStyle w:val="Style_3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widowControl w:val="1"/>
        <w:tabs>
          <w:tab w:leader="none" w:pos="5996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внесении изменений в решение Новокузнецкого городского Совета народных депутатов от 22.02.2022 №1/12 «О муниципальном контроле в сфере благоустройства на территории </w:t>
      </w:r>
      <w:r>
        <w:rPr>
          <w:color w:val="000000"/>
          <w:sz w:val="28"/>
        </w:rPr>
        <w:t>Новокузнецкого городского округа»</w:t>
      </w:r>
    </w:p>
    <w:p w14:paraId="0B000000">
      <w:pPr>
        <w:widowControl w:val="1"/>
        <w:ind/>
        <w:jc w:val="right"/>
        <w:rPr>
          <w:color w:val="000000"/>
          <w:sz w:val="28"/>
        </w:rPr>
      </w:pPr>
    </w:p>
    <w:p w14:paraId="0C000000">
      <w:pPr>
        <w:widowControl w:val="1"/>
        <w:ind w:firstLine="567" w:left="0"/>
        <w:jc w:val="right"/>
        <w:rPr>
          <w:color w:val="000000"/>
          <w:sz w:val="28"/>
        </w:rPr>
      </w:pPr>
    </w:p>
    <w:p w14:paraId="0D000000">
      <w:pPr>
        <w:widowControl w:val="1"/>
        <w:ind w:firstLine="709" w:left="0"/>
        <w:jc w:val="right"/>
        <w:rPr>
          <w:color w:val="000000"/>
          <w:sz w:val="28"/>
        </w:rPr>
      </w:pPr>
    </w:p>
    <w:p w14:paraId="0E000000">
      <w:pPr>
        <w:widowControl w:val="1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Принято</w:t>
      </w:r>
    </w:p>
    <w:p w14:paraId="0F000000">
      <w:pPr>
        <w:widowControl w:val="1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Новокузнецким городским</w:t>
      </w:r>
    </w:p>
    <w:p w14:paraId="10000000">
      <w:pPr>
        <w:widowControl w:val="1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Советом народных депутатов</w:t>
      </w:r>
    </w:p>
    <w:p w14:paraId="11000000">
      <w:pPr>
        <w:widowControl w:val="1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«_____» ___________ 2026 года</w:t>
      </w:r>
    </w:p>
    <w:p w14:paraId="12000000">
      <w:pPr>
        <w:widowControl w:val="1"/>
        <w:ind w:firstLine="709" w:left="0"/>
        <w:jc w:val="both"/>
        <w:rPr>
          <w:color w:val="000000"/>
          <w:sz w:val="28"/>
        </w:rPr>
      </w:pPr>
    </w:p>
    <w:p w14:paraId="13000000">
      <w:pPr>
        <w:widowControl w:val="1"/>
        <w:ind w:firstLine="709" w:left="0"/>
        <w:jc w:val="both"/>
        <w:rPr>
          <w:color w:val="000000"/>
          <w:sz w:val="28"/>
        </w:rPr>
      </w:pPr>
    </w:p>
    <w:p w14:paraId="14000000">
      <w:pPr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со статьями 16, 17.1 Федерального закона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</w:t>
      </w:r>
      <w:r>
        <w:rPr>
          <w:color w:val="000000"/>
          <w:sz w:val="28"/>
        </w:rPr>
        <w:t xml:space="preserve">онтроле в Российской Федерации», руководствуясь статьями 6, 8.1, 28, 32 и 33 Устава Новокузнецкого городского округа, Новокузнецкий городской Совет народных депутатов </w:t>
      </w:r>
    </w:p>
    <w:p w14:paraId="1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РЕШИЛ:</w:t>
      </w:r>
    </w:p>
    <w:p w14:paraId="1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 Внести в Положение о муниципальном контроле в сфере благоустройства на террито</w:t>
      </w:r>
      <w:r>
        <w:rPr>
          <w:color w:val="000000"/>
          <w:sz w:val="28"/>
        </w:rPr>
        <w:t>рии Новокузнецкого городского округа, утвержденное решением Новокузнецкого городского Совета народных депутатов от 22.02.2022 №1/12 «О муниципальном контроле в сфере благоустройства на территории Новокузнецкого городского округа», следующие изменения:</w:t>
      </w:r>
    </w:p>
    <w:p w14:paraId="1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1) в</w:t>
      </w:r>
      <w:r>
        <w:rPr>
          <w:color w:val="000000"/>
          <w:sz w:val="28"/>
        </w:rPr>
        <w:t xml:space="preserve"> пункте 1.2:</w:t>
      </w:r>
    </w:p>
    <w:p w14:paraId="1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абзац второй изложить в следующей редакции:</w:t>
      </w:r>
    </w:p>
    <w:p w14:paraId="1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«- соблюдение контролируемыми лицами обязательных требований, установленных Правилами благоустройства территории Новокузнецкого городского округа, утвержденными решением Новокузнецкого городского С</w:t>
      </w:r>
      <w:r>
        <w:rPr>
          <w:color w:val="000000"/>
          <w:sz w:val="28"/>
        </w:rPr>
        <w:t xml:space="preserve">овета народных депутатов от 24.12.2013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>16/198 «Об утверждении Правил благоустройства территории Новокузнецкого городского округа» (далее - Правила благоустройства), в том числе требований к обеспечению доступности для инвалидов объектов социальной, инжене</w:t>
      </w:r>
      <w:r>
        <w:rPr>
          <w:color w:val="000000"/>
          <w:sz w:val="28"/>
        </w:rPr>
        <w:t>рной и транспортной инфраструктур и предоставляемых услуг;»;</w:t>
      </w:r>
    </w:p>
    <w:p w14:paraId="1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дополнить абзацем следующего содержания:</w:t>
      </w:r>
    </w:p>
    <w:p w14:paraId="1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«Понятие «контролируемые лица» используется в настоящем Положении в соответствии со статьей 31 Федеральным законом от 31.07.2020 №248-ФЗ «О государствен</w:t>
      </w:r>
      <w:r>
        <w:rPr>
          <w:color w:val="000000"/>
          <w:sz w:val="28"/>
        </w:rPr>
        <w:t>ном контроле (надзоре) и муниципальном контроле в Российской Федерации»</w:t>
      </w:r>
      <w:r>
        <w:rPr>
          <w:color w:val="000000"/>
          <w:sz w:val="28"/>
        </w:rPr>
        <w:t xml:space="preserve"> (далее – Закон о контроле).</w:t>
      </w:r>
      <w:r>
        <w:rPr>
          <w:color w:val="000000"/>
          <w:sz w:val="28"/>
        </w:rPr>
        <w:t xml:space="preserve">»; </w:t>
      </w:r>
    </w:p>
    <w:p w14:paraId="1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2) пункт 1.6 изложить в следующей редакции:</w:t>
      </w:r>
    </w:p>
    <w:p w14:paraId="1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«1.6. </w:t>
      </w:r>
      <w:r>
        <w:rPr>
          <w:color w:val="000000"/>
          <w:sz w:val="28"/>
        </w:rPr>
        <w:t>К отношениям, связанным с осуществлением контроля в сфере благоустройства, организацией и проведением профил</w:t>
      </w:r>
      <w:r>
        <w:rPr>
          <w:color w:val="000000"/>
          <w:sz w:val="28"/>
        </w:rPr>
        <w:t>актических мероприятий, контрольных мероприятий, применяются положения Федерального</w:t>
      </w:r>
      <w:r>
        <w:rPr>
          <w:color w:val="000000"/>
          <w:sz w:val="28"/>
        </w:rPr>
        <w:t xml:space="preserve"> закона </w:t>
      </w:r>
      <w:r>
        <w:rPr>
          <w:color w:val="000000"/>
          <w:sz w:val="28"/>
        </w:rPr>
        <w:t>от 24.11.1995 №181-ФЗ «О социальной защите инвалидов в Российской Федерации»,</w:t>
      </w:r>
      <w:r>
        <w:rPr>
          <w:b w:val="0"/>
          <w:color w:val="000000"/>
          <w:sz w:val="28"/>
        </w:rPr>
        <w:t xml:space="preserve"> Закона</w:t>
      </w:r>
      <w:r>
        <w:rPr>
          <w:b w:val="0"/>
          <w:color w:val="000000"/>
          <w:sz w:val="28"/>
        </w:rPr>
        <w:t xml:space="preserve"> о контроле</w:t>
      </w:r>
      <w:r>
        <w:rPr>
          <w:b w:val="0"/>
          <w:color w:val="000000"/>
          <w:sz w:val="28"/>
        </w:rPr>
        <w:t>,</w:t>
      </w:r>
      <w:r>
        <w:rPr>
          <w:color w:val="000000"/>
          <w:sz w:val="28"/>
        </w:rPr>
        <w:t xml:space="preserve"> статей 16, 17.1 Федерального закона от 06.10.2003 №</w:t>
      </w:r>
      <w:r>
        <w:rPr>
          <w:color w:val="000000"/>
          <w:sz w:val="28"/>
        </w:rPr>
        <w:t xml:space="preserve">131-ФЗ «Об общих </w:t>
      </w:r>
      <w:r>
        <w:rPr>
          <w:color w:val="000000"/>
          <w:sz w:val="28"/>
        </w:rPr>
        <w:t>принципах организации местного самоуправления в Российской Федерации</w:t>
      </w:r>
      <w:r>
        <w:rPr>
          <w:color w:val="000000"/>
          <w:sz w:val="28"/>
        </w:rPr>
        <w:t>».»;</w:t>
      </w:r>
    </w:p>
    <w:p w14:paraId="1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3)</w:t>
      </w:r>
      <w:r>
        <w:rPr>
          <w:color w:val="000000"/>
          <w:sz w:val="28"/>
        </w:rPr>
        <w:t> в пункте 1.8:</w:t>
      </w:r>
    </w:p>
    <w:p w14:paraId="1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 абзац второй изложить в следующей редакции: </w:t>
      </w:r>
    </w:p>
    <w:p w14:paraId="2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«Решения о проведении профилактического визита, об объявлении предостережения о недопустимости нарушения обязательных тре</w:t>
      </w:r>
      <w:r>
        <w:rPr>
          <w:color w:val="000000"/>
          <w:sz w:val="28"/>
        </w:rPr>
        <w:t>бовании (далее - предостережение),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</w:t>
      </w:r>
      <w:r>
        <w:rPr>
          <w:color w:val="000000"/>
          <w:sz w:val="28"/>
        </w:rPr>
        <w:t>странении выявленных нарушений оформляются посредством внесения сведений о них в  единый реестр контрольных (надзорных) мероприятий (далее - ЕРКНМ) и их подписания. Для оформления указанных решений, актов и предписаний отдельное формирование документа не т</w:t>
      </w:r>
      <w:r>
        <w:rPr>
          <w:color w:val="000000"/>
          <w:sz w:val="28"/>
        </w:rPr>
        <w:t>ребуется.»;</w:t>
      </w:r>
    </w:p>
    <w:p w14:paraId="2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 дополнить новым третьим абзацем следующего содержания: </w:t>
      </w:r>
    </w:p>
    <w:p w14:paraId="2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</w:t>
      </w:r>
      <w:r>
        <w:rPr>
          <w:color w:val="000000"/>
          <w:sz w:val="28"/>
        </w:rPr>
        <w:t>предписания об устранении выявленных нарушений принимаются (подписываются) руководителем контрольного органа (исполняющим обязанности руководителя контрольного органа).»;</w:t>
      </w:r>
    </w:p>
    <w:p w14:paraId="2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rFonts w:ascii="XO Thames" w:hAnsi="XO Thames"/>
          <w:color w:val="000000"/>
          <w:sz w:val="28"/>
        </w:rPr>
        <w:t> </w:t>
      </w:r>
      <w:r>
        <w:rPr>
          <w:color w:val="000000"/>
          <w:sz w:val="28"/>
        </w:rPr>
        <w:t>абзац третий считать абзацем четверным;</w:t>
      </w:r>
    </w:p>
    <w:p w14:paraId="2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4) </w:t>
      </w:r>
      <w:r>
        <w:rPr>
          <w:color w:val="000000"/>
          <w:sz w:val="28"/>
        </w:rPr>
        <w:t>абзац первый пункта 2.3 дополнить предло</w:t>
      </w:r>
      <w:r>
        <w:rPr>
          <w:color w:val="000000"/>
          <w:sz w:val="28"/>
        </w:rPr>
        <w:t>жением следующего содержания: «Объект контроля считается отнесенным к одной из категорий риска после внесения сведений в ЕРВК.»;</w:t>
      </w:r>
    </w:p>
    <w:p w14:paraId="2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5) </w:t>
      </w:r>
      <w:r>
        <w:rPr>
          <w:color w:val="000000"/>
          <w:sz w:val="28"/>
        </w:rPr>
        <w:t>подпункт 2 пункта 3.4 изложить в следующей редакции:</w:t>
      </w:r>
    </w:p>
    <w:p w14:paraId="2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«2) объявление предостережения;»;</w:t>
      </w:r>
    </w:p>
    <w:p w14:paraId="2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6) </w:t>
      </w:r>
      <w:r>
        <w:rPr>
          <w:color w:val="000000"/>
          <w:sz w:val="28"/>
        </w:rPr>
        <w:t>в пункте 3.4.2:</w:t>
      </w:r>
    </w:p>
    <w:p w14:paraId="2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 в абзаце четверт</w:t>
      </w:r>
      <w:r>
        <w:rPr>
          <w:color w:val="000000"/>
          <w:sz w:val="28"/>
        </w:rPr>
        <w:t>ом слова «двадцати рабочих дней» заменить словами «пятнадцати рабочих дней»;</w:t>
      </w:r>
    </w:p>
    <w:p w14:paraId="2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 абзац девятый изложить в следующей редакции: </w:t>
      </w:r>
    </w:p>
    <w:p w14:paraId="2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«Возражения направляются контролируемым лицом в контрольный орган на бумажном носителе почтовым отправлением либо в электронном вид</w:t>
      </w:r>
      <w:r>
        <w:rPr>
          <w:color w:val="000000"/>
          <w:sz w:val="28"/>
        </w:rPr>
        <w:t>е подписанные в порядке, определенном частью 6 статьи 21 Закона о контроле, на адрес электронной почты, указанный в предостережении, либо посредством федеральной государственной информационной системы «Единый портал государственных и муниципальных услуг (ф</w:t>
      </w:r>
      <w:r>
        <w:rPr>
          <w:color w:val="000000"/>
          <w:sz w:val="28"/>
        </w:rPr>
        <w:t xml:space="preserve">ункций)» (далее - единый портал государственных и муниципальных услуг) или регионального </w:t>
      </w:r>
      <w:r>
        <w:rPr>
          <w:color w:val="000000"/>
          <w:sz w:val="28"/>
        </w:rPr>
        <w:t>портала государственных и муниципальных услуг, либо иными способами</w:t>
      </w:r>
      <w:r>
        <w:rPr>
          <w:color w:val="000000"/>
          <w:sz w:val="28"/>
        </w:rPr>
        <w:t xml:space="preserve">, предусмотренными </w:t>
      </w:r>
      <w:r>
        <w:rPr>
          <w:color w:val="000000"/>
          <w:sz w:val="28"/>
        </w:rPr>
        <w:t>Законом о контроле.</w:t>
      </w:r>
      <w:r>
        <w:rPr>
          <w:color w:val="000000"/>
          <w:sz w:val="28"/>
        </w:rPr>
        <w:t>»;</w:t>
      </w:r>
    </w:p>
    <w:p w14:paraId="2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 дополнить новым абзацем десятым следующего содержания:</w:t>
      </w:r>
    </w:p>
    <w:p w14:paraId="2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«В</w:t>
      </w:r>
      <w:r>
        <w:rPr>
          <w:color w:val="000000"/>
          <w:sz w:val="28"/>
        </w:rPr>
        <w:t>озражения рассматриваются контрольным органом в течение пятнадцати рабочих дней со дня их поступления.»;</w:t>
      </w:r>
    </w:p>
    <w:p w14:paraId="2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абзацы десятый - пятнадцатый считаться абзацами одиннадцатым – шестнадцатым соответственно;</w:t>
      </w:r>
    </w:p>
    <w:p w14:paraId="2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абзац </w:t>
      </w:r>
      <w:r>
        <w:rPr>
          <w:color w:val="000000"/>
          <w:sz w:val="28"/>
        </w:rPr>
        <w:t xml:space="preserve">четырнадцатый </w:t>
      </w:r>
      <w:r>
        <w:rPr>
          <w:color w:val="000000"/>
          <w:sz w:val="28"/>
        </w:rPr>
        <w:t xml:space="preserve">изложить в следующей редакции: </w:t>
      </w:r>
    </w:p>
    <w:p w14:paraId="2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«По итогам рассмотрения возражения контролируемому лицу в течение двадцати рабочих дней со дня получения возражения направляется ответ в бумажном виде заказным почтовым отправлением с уведомлением о вручении, либо посредство</w:t>
      </w:r>
      <w:r>
        <w:rPr>
          <w:color w:val="000000"/>
          <w:sz w:val="28"/>
        </w:rPr>
        <w:t>м единого портала государственных и муниципальных услуг или регионального портала государственных и муниципальных услуг, либо иным доступным для контролируемого лица способом, включая направление ответа в виде электронного документа, подписанного усиленной</w:t>
      </w:r>
      <w:r>
        <w:rPr>
          <w:color w:val="000000"/>
          <w:sz w:val="28"/>
        </w:rPr>
        <w:t xml:space="preserve"> квалифицированной электронной подписью лица, принявшего решение о направлении предостережения.»;</w:t>
      </w:r>
    </w:p>
    <w:p w14:paraId="30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7)</w:t>
      </w:r>
      <w:r>
        <w:rPr>
          <w:color w:val="000000"/>
          <w:sz w:val="28"/>
        </w:rPr>
        <w:t> абзац первый пункта 3.4.3 после слова «видео-конференц-связи,» дополнить словами «использования мобильного приложения «Инспектор»,»;</w:t>
      </w:r>
    </w:p>
    <w:p w14:paraId="31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8) </w:t>
      </w:r>
      <w:r>
        <w:rPr>
          <w:color w:val="000000"/>
          <w:sz w:val="28"/>
        </w:rPr>
        <w:t xml:space="preserve">абзац пятый пункта </w:t>
      </w:r>
      <w:r>
        <w:rPr>
          <w:color w:val="000000"/>
          <w:sz w:val="28"/>
        </w:rPr>
        <w:t>3.4.4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о контроле.»</w:t>
      </w:r>
      <w:r>
        <w:rPr>
          <w:color w:val="000000"/>
          <w:sz w:val="28"/>
        </w:rPr>
        <w:t>;</w:t>
      </w:r>
    </w:p>
    <w:p w14:paraId="3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9) </w:t>
      </w:r>
      <w:r>
        <w:rPr>
          <w:color w:val="000000"/>
          <w:sz w:val="28"/>
        </w:rPr>
        <w:t>пункт 4.6 изложить в следующей редакции:</w:t>
      </w:r>
    </w:p>
    <w:p w14:paraId="33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«4.6. Контрольные мероприятия со взаимодействием с контролируемым лицом проводятся на основании решения о проведении контрольного мероприятия, принимаемого руководителем контрольного органа (исполняющим обязанн</w:t>
      </w:r>
      <w:r>
        <w:rPr>
          <w:color w:val="000000"/>
          <w:sz w:val="28"/>
        </w:rPr>
        <w:t>ости руководителя контрольного органа), в котором указываются сведения, предусмотренные частью 1 статьи 64 Закона о контроле.»;</w:t>
      </w:r>
    </w:p>
    <w:p w14:paraId="3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10)</w:t>
      </w:r>
      <w:r>
        <w:rPr>
          <w:color w:val="000000"/>
          <w:sz w:val="28"/>
        </w:rPr>
        <w:t xml:space="preserve"> абзац третий пункта 4.11 изложить в следующей редакции: </w:t>
      </w:r>
    </w:p>
    <w:p w14:paraId="35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«Если имеющихся в распоряжении у контрольного органа сведений и док</w:t>
      </w:r>
      <w:r>
        <w:rPr>
          <w:color w:val="000000"/>
          <w:sz w:val="28"/>
        </w:rPr>
        <w:t>ументов недостаточно, то в ходе документарной проверки должностным лицом, уполномоченным осуществлять контроль в сфере благоустройства, могут совершаться следующие контрольные действия:»;</w:t>
      </w:r>
    </w:p>
    <w:p w14:paraId="3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</w:rPr>
        <w:t xml:space="preserve">) пункт 4.18 изложить в следующей редакции: </w:t>
      </w:r>
    </w:p>
    <w:p w14:paraId="3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«4.18. Контрольное ме</w:t>
      </w:r>
      <w:r>
        <w:rPr>
          <w:color w:val="000000"/>
          <w:sz w:val="28"/>
        </w:rPr>
        <w:t>роприятие, предусматривающее взаимодействие с контролируемым лицом, может быть начато после внесения в ЕРКНМ сведений, установленных правилами его формирования и ведения, за исключением случаев неработоспособности ЕРКНМ, зафиксированных оператором ЕРКНМ.»;</w:t>
      </w:r>
    </w:p>
    <w:p w14:paraId="3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12) а</w:t>
      </w:r>
      <w:r>
        <w:rPr>
          <w:color w:val="000000"/>
          <w:sz w:val="28"/>
        </w:rPr>
        <w:t>бзац первый пункта 5.9 изложить в следующей редакции:</w:t>
      </w:r>
    </w:p>
    <w:p w14:paraId="3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«5.9. </w:t>
      </w:r>
      <w:r>
        <w:rPr>
          <w:color w:val="000000"/>
          <w:sz w:val="28"/>
        </w:rPr>
        <w:t xml:space="preserve">Информирование контролируемых лиц о совершаемых </w:t>
      </w:r>
      <w:r>
        <w:rPr>
          <w:color w:val="000000"/>
          <w:sz w:val="28"/>
        </w:rPr>
        <w:t xml:space="preserve">должностными лицами, уполномоченными осуществлять контроль в сфере благоустройства, действиях и принимаемых решениях осуществляется в сроки и </w:t>
      </w:r>
      <w:r>
        <w:rPr>
          <w:color w:val="000000"/>
          <w:sz w:val="28"/>
        </w:rPr>
        <w:t>порядке, установленные Законом о контроле, путем размещения сведений об указанных действиях и решениях в ЕРКНМ, а также доведения их до контролируемых лиц посредством инфраструктуры, обеспечивающей информационно-технологическое взаимодействие информационны</w:t>
      </w:r>
      <w:r>
        <w:rPr>
          <w:color w:val="000000"/>
          <w:sz w:val="28"/>
        </w:rPr>
        <w:t>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единый портал государственных и муниципальных услуг и (или) через региональный порта</w:t>
      </w:r>
      <w:r>
        <w:rPr>
          <w:color w:val="000000"/>
          <w:sz w:val="28"/>
        </w:rPr>
        <w:t>л государственных и муниципальных услуг.»;</w:t>
      </w:r>
    </w:p>
    <w:p w14:paraId="3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13)</w:t>
      </w:r>
      <w:r>
        <w:rPr>
          <w:color w:val="000000"/>
          <w:sz w:val="28"/>
        </w:rPr>
        <w:t> п</w:t>
      </w:r>
      <w:r>
        <w:rPr>
          <w:color w:val="000000"/>
          <w:sz w:val="28"/>
        </w:rPr>
        <w:t xml:space="preserve">ункт 3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"consultantplus://offline/ref=B68F47BAE4E1F6667C81F8C978DF93BCF9D8E8C17D1A362F1120C052264E32D74F4A9F0FD182A2FC3043FFBD3D4DC698701642AA819ECFEB30ED13D6M2z9J"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приложения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«Перечень индикаторов</w:t>
      </w:r>
      <w:r>
        <w:rPr>
          <w:color w:val="000000"/>
          <w:sz w:val="28"/>
        </w:rPr>
        <w:t xml:space="preserve"> риска нарушения обязательных требований, проверяемых в рамках осуществления муниципального контроля в сфере благоустройства на территории Новокузнецкого городского округа» признать утратившим силу.</w:t>
      </w:r>
    </w:p>
    <w:p w14:paraId="3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 Настоящее решение вступает в силу со дня, следующего з</w:t>
      </w:r>
      <w:r>
        <w:rPr>
          <w:color w:val="000000"/>
          <w:sz w:val="28"/>
        </w:rPr>
        <w:t xml:space="preserve">а днем его официального опубликования. </w:t>
      </w:r>
    </w:p>
    <w:p w14:paraId="3C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>3. 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развитию промышленности, предпринимательст</w:t>
      </w:r>
      <w:r>
        <w:rPr>
          <w:sz w:val="28"/>
        </w:rPr>
        <w:t>ва, градостроите</w:t>
      </w:r>
      <w:r>
        <w:rPr>
          <w:sz w:val="28"/>
        </w:rPr>
        <w:t>льства, землепользования и экологии.</w:t>
      </w:r>
    </w:p>
    <w:p w14:paraId="3D000000">
      <w:pPr>
        <w:ind w:firstLine="567" w:left="0"/>
        <w:jc w:val="both"/>
        <w:rPr>
          <w:sz w:val="28"/>
        </w:rPr>
      </w:pPr>
    </w:p>
    <w:p w14:paraId="3E000000">
      <w:pPr>
        <w:ind w:firstLine="567" w:left="0"/>
        <w:jc w:val="both"/>
        <w:rPr>
          <w:sz w:val="28"/>
        </w:rPr>
      </w:pPr>
    </w:p>
    <w:tbl>
      <w:tblPr>
        <w:tblStyle w:val="Style_2"/>
        <w:tblW w:type="auto" w:w="0"/>
        <w:tblInd w:type="dxa" w:w="-176"/>
        <w:tblLayout w:type="fixed"/>
      </w:tblPr>
      <w:tblGrid>
        <w:gridCol w:w="6551"/>
        <w:gridCol w:w="3090"/>
      </w:tblGrid>
      <w:tr>
        <w:tc>
          <w:tcPr>
            <w:tcW w:type="dxa" w:w="6551"/>
          </w:tcPr>
          <w:p w14:paraId="3F000000">
            <w:pPr>
              <w:ind w:firstLine="142" w:left="-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40000000">
            <w:pPr>
              <w:ind w:firstLine="142" w:left="-142"/>
              <w:jc w:val="both"/>
              <w:rPr>
                <w:sz w:val="28"/>
              </w:rPr>
            </w:pPr>
            <w:r>
              <w:rPr>
                <w:sz w:val="28"/>
              </w:rPr>
              <w:t>Новокузнецкого городского</w:t>
            </w:r>
          </w:p>
          <w:p w14:paraId="41000000">
            <w:pPr>
              <w:ind w:firstLine="142" w:left="-142"/>
              <w:jc w:val="both"/>
              <w:rPr>
                <w:sz w:val="28"/>
              </w:rPr>
            </w:pPr>
            <w:r>
              <w:rPr>
                <w:sz w:val="28"/>
              </w:rPr>
              <w:t>Совета народных депутатов</w:t>
            </w:r>
          </w:p>
        </w:tc>
        <w:tc>
          <w:tcPr>
            <w:tcW w:type="dxa" w:w="3090"/>
          </w:tcPr>
          <w:p w14:paraId="42000000">
            <w:pPr>
              <w:ind w:firstLine="142" w:left="-142"/>
              <w:rPr>
                <w:sz w:val="28"/>
              </w:rPr>
            </w:pPr>
          </w:p>
          <w:p w14:paraId="43000000">
            <w:pPr>
              <w:ind w:firstLine="142" w:left="-142"/>
              <w:rPr>
                <w:sz w:val="28"/>
              </w:rPr>
            </w:pPr>
          </w:p>
          <w:p w14:paraId="44000000">
            <w:pPr>
              <w:ind w:firstLine="142" w:left="-142"/>
              <w:rPr>
                <w:sz w:val="28"/>
              </w:rPr>
            </w:pPr>
            <w:r>
              <w:rPr>
                <w:sz w:val="28"/>
              </w:rPr>
              <w:t>А.К. Шелковникова</w:t>
            </w:r>
          </w:p>
        </w:tc>
      </w:tr>
      <w:tr>
        <w:tc>
          <w:tcPr>
            <w:tcW w:type="dxa" w:w="6551"/>
          </w:tcPr>
          <w:p w14:paraId="45000000">
            <w:pPr>
              <w:ind w:firstLine="0" w:left="0"/>
              <w:jc w:val="both"/>
              <w:rPr>
                <w:sz w:val="28"/>
              </w:rPr>
            </w:pPr>
          </w:p>
          <w:p w14:paraId="46000000">
            <w:pPr>
              <w:ind w:firstLine="0" w:left="0"/>
              <w:jc w:val="both"/>
              <w:rPr>
                <w:sz w:val="28"/>
              </w:rPr>
            </w:pPr>
          </w:p>
          <w:p w14:paraId="47000000">
            <w:pPr>
              <w:ind w:firstLine="0" w:left="0"/>
              <w:jc w:val="both"/>
              <w:rPr>
                <w:sz w:val="28"/>
              </w:rPr>
            </w:pPr>
          </w:p>
        </w:tc>
        <w:tc>
          <w:tcPr>
            <w:tcW w:type="dxa" w:w="3090"/>
          </w:tcPr>
          <w:p w14:paraId="48000000">
            <w:pPr>
              <w:ind w:firstLine="0" w:left="0"/>
              <w:rPr>
                <w:sz w:val="28"/>
              </w:rPr>
            </w:pPr>
          </w:p>
        </w:tc>
      </w:tr>
      <w:tr>
        <w:tc>
          <w:tcPr>
            <w:tcW w:type="dxa" w:w="6551"/>
          </w:tcPr>
          <w:p w14:paraId="49000000">
            <w:p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Глава города Новокузнецка</w:t>
            </w:r>
          </w:p>
        </w:tc>
        <w:tc>
          <w:tcPr>
            <w:tcW w:type="dxa" w:w="3090"/>
          </w:tcPr>
          <w:p w14:paraId="4A00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Д.П. Ильин</w:t>
            </w:r>
          </w:p>
        </w:tc>
      </w:tr>
      <w:tr>
        <w:tc>
          <w:tcPr>
            <w:tcW w:type="dxa" w:w="6551"/>
          </w:tcPr>
          <w:p w14:paraId="4B000000">
            <w:pPr>
              <w:ind w:firstLine="0" w:left="0"/>
              <w:jc w:val="both"/>
              <w:rPr>
                <w:sz w:val="24"/>
              </w:rPr>
            </w:pPr>
          </w:p>
        </w:tc>
        <w:tc>
          <w:tcPr>
            <w:tcW w:type="dxa" w:w="3090"/>
          </w:tcPr>
          <w:p w14:paraId="4C000000">
            <w:pPr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6551"/>
          </w:tcPr>
          <w:p w14:paraId="4D000000">
            <w:pPr>
              <w:ind w:firstLine="0" w:left="0"/>
              <w:jc w:val="both"/>
              <w:rPr>
                <w:sz w:val="28"/>
              </w:rPr>
            </w:pPr>
          </w:p>
          <w:p w14:paraId="4E000000">
            <w:p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г. Новокузнецк</w:t>
            </w:r>
          </w:p>
          <w:p w14:paraId="4F000000">
            <w:p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«_____» ____________ 2026 года</w:t>
            </w:r>
          </w:p>
          <w:p w14:paraId="50000000">
            <w:p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№_____</w:t>
            </w:r>
          </w:p>
        </w:tc>
        <w:tc>
          <w:tcPr>
            <w:tcW w:type="dxa" w:w="3090"/>
          </w:tcPr>
          <w:p w14:paraId="51000000">
            <w:pPr>
              <w:ind w:firstLine="0" w:left="0"/>
              <w:rPr>
                <w:sz w:val="24"/>
              </w:rPr>
            </w:pPr>
          </w:p>
        </w:tc>
      </w:tr>
    </w:tbl>
    <w:p w14:paraId="52000000">
      <w:pPr>
        <w:ind w:firstLine="567" w:left="0"/>
        <w:jc w:val="center"/>
      </w:pPr>
    </w:p>
    <w:sectPr>
      <w:headerReference r:id="rId1" w:type="default"/>
      <w:pgSz w:h="16848" w:orient="portrait" w:w="11908"/>
      <w:pgMar w:bottom="1134" w:footer="708" w:gutter="0" w:header="708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  <w:rPr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  <w:rPr>
      <w:rFonts w:ascii="Times New Roman" w:hAnsi="Times New Roman"/>
      <w:sz w:val="20"/>
    </w:rPr>
  </w:style>
  <w:style w:styleId="Style_10_ch" w:type="character">
    <w:name w:val="Обычный1"/>
    <w:link w:val="Style_10"/>
    <w:rPr>
      <w:rFonts w:ascii="Times New Roman" w:hAnsi="Times New Roman"/>
      <w:sz w:val="20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2026-03-19T07:46:14Z</dcterms:modified>
</cp:coreProperties>
</file>