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573924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ВТОРОЕ</w:t>
      </w:r>
      <w:r w:rsidR="003D1A2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ПОЛУГОДИЕ 2023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</w:t>
      </w:r>
      <w:r w:rsidR="00693CA6">
        <w:rPr>
          <w:rFonts w:ascii="Times New Roman" w:eastAsia="Arial" w:hAnsi="Times New Roman" w:cs="Times New Roman"/>
          <w:color w:val="000000"/>
          <w:sz w:val="28"/>
          <w:szCs w:val="28"/>
        </w:rPr>
        <w:t>январь</w:t>
      </w:r>
      <w:r w:rsidR="007E3DC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</w:t>
      </w:r>
      <w:r w:rsidR="00693CA6">
        <w:rPr>
          <w:rFonts w:ascii="Times New Roman" w:eastAsia="Arial" w:hAnsi="Times New Roman" w:cs="Times New Roman"/>
          <w:color w:val="000000"/>
          <w:sz w:val="28"/>
          <w:szCs w:val="28"/>
        </w:rPr>
        <w:t>июнь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</w:t>
      </w:r>
      <w:r w:rsidR="00693CA6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5026F6">
        <w:rPr>
          <w:rFonts w:ascii="Times New Roman" w:eastAsia="Arial" w:hAnsi="Times New Roman" w:cs="Times New Roman"/>
          <w:b/>
          <w:color w:val="000000"/>
          <w:sz w:val="28"/>
          <w:szCs w:val="28"/>
        </w:rPr>
        <w:t>71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обращений, в том числе:</w:t>
      </w:r>
    </w:p>
    <w:p w:rsidR="00323719" w:rsidRDefault="005026F6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59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письменных; </w:t>
      </w:r>
    </w:p>
    <w:p w:rsidR="007E3DCD" w:rsidRPr="003C5FDB" w:rsidRDefault="00693CA6" w:rsidP="007E3DCD">
      <w:pPr>
        <w:widowControl w:val="0"/>
        <w:spacing w:before="2" w:line="240" w:lineRule="auto"/>
        <w:ind w:left="711" w:right="-1" w:firstLine="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12</w:t>
      </w:r>
      <w:r w:rsidR="001D074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1D0747" w:rsidRPr="001D074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устных.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 w:rsidP="001D074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5026F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59</w:t>
      </w:r>
      <w:r w:rsidR="001D074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 обращени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5026F6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41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5026F6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18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1D074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председателем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>проведено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93C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7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на которых принято </w:t>
      </w:r>
      <w:r w:rsidR="00573924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="00693C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в том числе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</w:t>
      </w:r>
      <w:r w:rsidR="009E3B38">
        <w:rPr>
          <w:rFonts w:ascii="Times New Roman" w:eastAsia="Arial" w:hAnsi="Times New Roman" w:cs="Times New Roman"/>
          <w:color w:val="000000"/>
          <w:sz w:val="28"/>
          <w:szCs w:val="28"/>
        </w:rPr>
        <w:t>ей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объединений граждан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815EFF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815EFF" w:rsidRDefault="005026F6" w:rsidP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815EFF" w:rsidRDefault="004B10AB" w:rsidP="004B10AB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815EFF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815EFF" w:rsidRDefault="005026F6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815EFF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815EFF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815EFF" w:rsidRDefault="004B10AB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  <w:bookmarkStart w:id="2" w:name="_GoBack"/>
            <w:bookmarkEnd w:id="2"/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815EFF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815EFF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815EFF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815EFF" w:rsidRDefault="004B10AB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815EFF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5026F6" w:rsidP="003D1A20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</w:tbl>
    <w:p w:rsidR="00815EFF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Поступившие обращения рассмотрены Новокузнецким городским Советом народных депутатов в соответствии с Федеральным законом от 02.05.2006 №59-ФЗ «О порядке рассмотрения обращений граждан Российской Федерации» и компетенцией Новокузнецкого городского Совета народных депутатов, определенной Федеральным законом от 06.10.2003 №131-ФЗ «Об общих принципах организации местного самоуправления в Российской Федерации» и Уставом Новокузнецкого городского округа.</w:t>
      </w: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Ответы на обращения подготовлены и направлены в сроки, определенные действующим законодательством.</w:t>
      </w:r>
    </w:p>
    <w:sectPr w:rsidR="00346290" w:rsidRPr="00346290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D0747"/>
    <w:rsid w:val="00323719"/>
    <w:rsid w:val="00346290"/>
    <w:rsid w:val="003C5FDB"/>
    <w:rsid w:val="003D1A20"/>
    <w:rsid w:val="0043619E"/>
    <w:rsid w:val="004B10AB"/>
    <w:rsid w:val="004F701E"/>
    <w:rsid w:val="005026F6"/>
    <w:rsid w:val="00573924"/>
    <w:rsid w:val="00693CA6"/>
    <w:rsid w:val="007E3DCD"/>
    <w:rsid w:val="00815EFF"/>
    <w:rsid w:val="00832BCB"/>
    <w:rsid w:val="00864617"/>
    <w:rsid w:val="009E3B38"/>
    <w:rsid w:val="00B86277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E05C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sovet</cp:lastModifiedBy>
  <cp:revision>9</cp:revision>
  <dcterms:created xsi:type="dcterms:W3CDTF">2023-07-25T08:10:00Z</dcterms:created>
  <dcterms:modified xsi:type="dcterms:W3CDTF">2024-10-21T02:33:00Z</dcterms:modified>
</cp:coreProperties>
</file>